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ascii="方正小标宋简体" w:eastAsia="方正小标宋简体"/>
          <w:sz w:val="44"/>
          <w:szCs w:val="32"/>
        </w:rPr>
      </w:pPr>
      <w:r>
        <w:rPr>
          <w:rFonts w:hint="eastAsia" w:ascii="方正小标宋简体" w:eastAsia="方正小标宋简体"/>
          <w:sz w:val="44"/>
          <w:szCs w:val="32"/>
          <w:lang w:eastAsia="zh-CN"/>
        </w:rPr>
        <w:t>武汉东湖新技术开发区市场</w:t>
      </w:r>
      <w:r>
        <w:rPr>
          <w:rFonts w:hint="eastAsia" w:ascii="方正小标宋简体" w:eastAsia="方正小标宋简体"/>
          <w:sz w:val="44"/>
          <w:szCs w:val="32"/>
        </w:rPr>
        <w:t>监督管理局</w:t>
      </w:r>
    </w:p>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hint="eastAsia" w:ascii="方正小标宋简体" w:eastAsia="方正小标宋简体"/>
          <w:sz w:val="44"/>
          <w:szCs w:val="32"/>
        </w:rPr>
      </w:pPr>
      <w:r>
        <w:rPr>
          <w:rFonts w:hint="eastAsia" w:ascii="方正小标宋简体" w:eastAsia="方正小标宋简体"/>
          <w:sz w:val="44"/>
          <w:szCs w:val="32"/>
        </w:rPr>
        <w:t>关于不合格食品核查处置情况的通告</w:t>
      </w:r>
    </w:p>
    <w:p>
      <w:pPr>
        <w:keepNext w:val="0"/>
        <w:keepLines w:val="0"/>
        <w:pageBreakBefore w:val="0"/>
        <w:widowControl w:val="0"/>
        <w:kinsoku/>
        <w:overflowPunct/>
        <w:topLinePunct w:val="0"/>
        <w:autoSpaceDE/>
        <w:autoSpaceDN/>
        <w:bidi w:val="0"/>
        <w:adjustRightInd/>
        <w:snapToGrid/>
        <w:spacing w:line="556" w:lineRule="exact"/>
        <w:jc w:val="center"/>
        <w:textAlignment w:val="auto"/>
        <w:rPr>
          <w:rFonts w:hint="eastAsia" w:ascii="方正小标宋简体" w:eastAsia="方正小标宋简体"/>
          <w:sz w:val="44"/>
          <w:szCs w:val="32"/>
        </w:rPr>
      </w:pP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eastAsia="仿宋_GB2312"/>
          <w:sz w:val="32"/>
          <w:szCs w:val="32"/>
        </w:rPr>
      </w:pPr>
      <w:r>
        <w:rPr>
          <w:rFonts w:eastAsia="仿宋_GB2312"/>
          <w:sz w:val="32"/>
          <w:szCs w:val="32"/>
        </w:rPr>
        <w:t>现将</w:t>
      </w:r>
      <w:r>
        <w:rPr>
          <w:rFonts w:hint="eastAsia" w:eastAsia="仿宋_GB2312"/>
          <w:sz w:val="32"/>
          <w:szCs w:val="32"/>
          <w:lang w:val="en-US" w:eastAsia="zh-CN"/>
        </w:rPr>
        <w:t>报告编号为</w:t>
      </w:r>
      <w:r>
        <w:rPr>
          <w:rFonts w:hint="eastAsia" w:eastAsia="仿宋_GB2312"/>
          <w:sz w:val="32"/>
          <w:szCs w:val="32"/>
        </w:rPr>
        <w:t>DBJ26420100003431052ZX</w:t>
      </w:r>
      <w:r>
        <w:rPr>
          <w:rFonts w:eastAsia="仿宋_GB2312"/>
          <w:sz w:val="32"/>
          <w:szCs w:val="32"/>
        </w:rPr>
        <w:t>不合格食品核查处置情况通告如下：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东湖新技术开发区小小妙新零售商行销售的新鲜桂圆 龙眼</w:t>
      </w:r>
    </w:p>
    <w:p>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抽检基本情况。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eastAsia="仿宋_GB2312"/>
          <w:b w:val="0"/>
          <w:bCs w:val="0"/>
          <w:sz w:val="32"/>
          <w:szCs w:val="32"/>
          <w:lang w:val="en-US" w:eastAsia="zh-CN"/>
        </w:rPr>
      </w:pPr>
      <w:r>
        <w:rPr>
          <w:rFonts w:hint="eastAsia" w:eastAsia="仿宋_GB2312"/>
          <w:sz w:val="32"/>
          <w:szCs w:val="32"/>
          <w:lang w:val="en-US" w:eastAsia="zh-CN"/>
        </w:rPr>
        <w:t>2026</w:t>
      </w:r>
      <w:r>
        <w:rPr>
          <w:rFonts w:hint="eastAsia" w:eastAsia="仿宋_GB2312"/>
          <w:b w:val="0"/>
          <w:bCs w:val="0"/>
          <w:sz w:val="32"/>
          <w:szCs w:val="32"/>
          <w:lang w:val="en-US" w:eastAsia="zh-CN"/>
        </w:rPr>
        <w:t>年</w:t>
      </w:r>
      <w:bookmarkStart w:id="0" w:name="OLE_LINK1"/>
      <w:r>
        <w:rPr>
          <w:rFonts w:hint="eastAsia" w:eastAsia="仿宋_GB2312"/>
          <w:sz w:val="32"/>
          <w:szCs w:val="32"/>
          <w:lang w:val="en-US" w:eastAsia="zh-CN"/>
        </w:rPr>
        <w:t>1月</w:t>
      </w:r>
      <w:bookmarkEnd w:id="0"/>
      <w:r>
        <w:rPr>
          <w:rFonts w:hint="eastAsia" w:eastAsia="仿宋_GB2312"/>
          <w:b w:val="0"/>
          <w:bCs w:val="0"/>
          <w:sz w:val="32"/>
          <w:szCs w:val="32"/>
          <w:lang w:val="en-US" w:eastAsia="zh-CN"/>
        </w:rPr>
        <w:t>9日</w:t>
      </w:r>
      <w:r>
        <w:rPr>
          <w:rFonts w:hint="eastAsia" w:eastAsia="仿宋_GB2312"/>
          <w:sz w:val="32"/>
          <w:szCs w:val="32"/>
          <w:lang w:val="en-US" w:eastAsia="zh-CN"/>
        </w:rPr>
        <w:t>抽</w:t>
      </w:r>
      <w:r>
        <w:rPr>
          <w:rFonts w:hint="eastAsia" w:ascii="Times New Roman" w:hAnsi="Times New Roman" w:eastAsia="仿宋_GB2312" w:cs="Times New Roman"/>
          <w:sz w:val="32"/>
          <w:szCs w:val="32"/>
          <w:lang w:val="en-US" w:eastAsia="zh-CN"/>
        </w:rPr>
        <w:t>自东湖新技术开发区小小妙新零售商行销售的新鲜桂圆 龙眼，经抽样检验，</w:t>
      </w:r>
      <w:r>
        <w:rPr>
          <w:rFonts w:hint="eastAsia" w:ascii="Times New Roman" w:hAnsi="Times New Roman" w:eastAsia="仿宋_GB2312" w:cs="Times New Roman"/>
          <w:sz w:val="32"/>
          <w:szCs w:val="32"/>
          <w:lang w:eastAsia="zh-CN"/>
        </w:rPr>
        <w:t>二氧化硫残留量项目不符合GB 2760-2024《食品安全国家标准 食品添加剂使用标准》要求</w:t>
      </w:r>
      <w:r>
        <w:rPr>
          <w:rFonts w:hint="eastAsia" w:eastAsia="仿宋_GB2312"/>
          <w:b w:val="0"/>
          <w:bCs w:val="0"/>
          <w:sz w:val="32"/>
          <w:szCs w:val="32"/>
          <w:lang w:val="en-US" w:eastAsia="zh-CN"/>
        </w:rPr>
        <w:t>，检验结论为不合格。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left"/>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（二）对企业违法违规行为依法处罚情况。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经</w:t>
      </w:r>
      <w:r>
        <w:rPr>
          <w:rFonts w:hint="eastAsia" w:ascii="Times New Roman" w:hAnsi="Times New Roman" w:eastAsia="仿宋_GB2312" w:cs="Times New Roman"/>
          <w:b w:val="0"/>
          <w:bCs w:val="0"/>
          <w:sz w:val="32"/>
          <w:szCs w:val="32"/>
          <w:lang w:val="en-US" w:eastAsia="zh-CN"/>
        </w:rPr>
        <w:t>查，</w:t>
      </w:r>
      <w:bookmarkStart w:id="1" w:name="_GoBack"/>
      <w:r>
        <w:rPr>
          <w:rFonts w:hint="eastAsia" w:eastAsia="仿宋_GB2312" w:cs="Times New Roman"/>
          <w:sz w:val="32"/>
          <w:szCs w:val="32"/>
          <w:lang w:val="en-US" w:eastAsia="zh-CN"/>
        </w:rPr>
        <w:t>当事人</w:t>
      </w:r>
      <w:r>
        <w:rPr>
          <w:rFonts w:hint="default" w:eastAsia="仿宋_GB2312" w:cs="Times New Roman"/>
          <w:sz w:val="32"/>
          <w:szCs w:val="32"/>
          <w:lang w:val="en-US" w:eastAsia="zh-CN"/>
        </w:rPr>
        <w:t>销售超限量使用食品添加剂的食用农产品龙眼的行为，违反了《食用农产品市场销售质量安全监督管理办法》第十五条第一款“禁止销售者采购、销售食品安全法第三十四条规定情形的食用农产品。”、《中华人民共和国食品安全法》第三十四条第四项“禁止生产经营下列食品、食品添加剂、食品相关产品：……（四）超范围、超限量使用食品添加剂的食品；”的规定。</w:t>
      </w:r>
      <w:r>
        <w:rPr>
          <w:rFonts w:hint="default" w:eastAsia="仿宋_GB2312" w:cs="Times New Roman"/>
          <w:sz w:val="32"/>
          <w:szCs w:val="32"/>
          <w:lang w:val="en-US" w:eastAsia="zh-CN"/>
        </w:rPr>
        <w:br w:type="textWrapping"/>
      </w:r>
      <w:r>
        <w:rPr>
          <w:rFonts w:hint="eastAsia" w:eastAsia="仿宋_GB2312" w:cs="Times New Roman"/>
          <w:sz w:val="32"/>
          <w:szCs w:val="32"/>
          <w:lang w:val="en-US" w:eastAsia="zh-CN"/>
        </w:rPr>
        <w:t xml:space="preserve">    </w:t>
      </w:r>
      <w:r>
        <w:rPr>
          <w:rFonts w:hint="default" w:eastAsia="仿宋_GB2312" w:cs="Times New Roman"/>
          <w:sz w:val="32"/>
          <w:szCs w:val="32"/>
          <w:lang w:val="en-US" w:eastAsia="zh-CN"/>
        </w:rPr>
        <w:t>当事人履行了进货查验义务，有充分证据证明其不知道所采购的食品不符合食品安全标准，并能如实说明其进货来源，符合《中华人民共和国食品安全法》第一百三十六条“食品经营者履行了本法规定的进货查验等义务，有充分证据证明其不知道所采购的食品不符合食品安全标准，并能如实说明其进货来源的，可以免予处罚，但应当依法没收其不符合食品安全标准的食品；”规定的情形，可以免予处罚，无可没收的不符合食品安全标准的龙眼。</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eastAsia="仿宋_GB2312" w:cs="Times New Roman"/>
          <w:sz w:val="32"/>
          <w:szCs w:val="32"/>
          <w:lang w:val="en-US" w:eastAsia="zh-CN"/>
        </w:rPr>
      </w:pPr>
      <w:r>
        <w:rPr>
          <w:rFonts w:hint="default" w:eastAsia="仿宋_GB2312" w:cs="Times New Roman"/>
          <w:sz w:val="32"/>
          <w:szCs w:val="32"/>
          <w:lang w:val="en-US" w:eastAsia="zh-CN"/>
        </w:rPr>
        <w:t>当事人销售超限量使用食品添加剂的食用农产品龙眼的行为，应依据《食用农产品市场销售质量安全监督管理办法》第四十二条“销售者违反本办法第十五条规定，采购、销售食品安全法第三十四条规定情形的食用农产品的，由县级以上市场监督管理部门依照食品安全法有关规定给予处罚。”及《中华人民共和国食品安全法》第一百二十四条第一款第三项“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超范围、超限量使用食品添加剂的食品；”的规定给予行政处罚。因当事人符合《中华人民共和国食品安全法》第一百三十六条“食品经营者履行了本法规定的进货查验等义务，有充分证据证明其不知道所采购的食品不符合食品安全标准，并能如实说明其进货来源的，可以免予处罚，但应当依法没收其不符合食品安全标准的食品；”规定的免予处罚情形，</w:t>
      </w:r>
      <w:r>
        <w:rPr>
          <w:rFonts w:hint="eastAsia" w:eastAsia="仿宋_GB2312" w:cs="Times New Roman"/>
          <w:sz w:val="32"/>
          <w:szCs w:val="32"/>
          <w:lang w:val="en-US" w:eastAsia="zh-CN"/>
        </w:rPr>
        <w:t>本局决定</w:t>
      </w:r>
      <w:r>
        <w:rPr>
          <w:rFonts w:hint="default" w:eastAsia="仿宋_GB2312" w:cs="Times New Roman"/>
          <w:sz w:val="32"/>
          <w:szCs w:val="32"/>
          <w:lang w:val="en-US" w:eastAsia="zh-CN"/>
        </w:rPr>
        <w:t>对当事人免予处罚。</w:t>
      </w:r>
    </w:p>
    <w:bookmarkEnd w:id="1"/>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楷体_GB2312" w:hAnsi="楷体_GB2312" w:eastAsia="楷体_GB2312" w:cs="楷体_GB2312"/>
          <w:color w:val="FF0000"/>
          <w:sz w:val="32"/>
          <w:szCs w:val="32"/>
          <w:lang w:val="en-US" w:eastAsia="zh-CN"/>
        </w:rPr>
      </w:pPr>
      <w:r>
        <w:rPr>
          <w:rFonts w:hint="eastAsia" w:ascii="楷体_GB2312" w:hAnsi="楷体_GB2312" w:eastAsia="楷体_GB2312" w:cs="楷体_GB2312"/>
          <w:sz w:val="32"/>
          <w:szCs w:val="32"/>
          <w:lang w:val="en-US" w:eastAsia="zh-CN"/>
        </w:rPr>
        <w:t>（三）原因排查及整改情况。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lang w:val="en-US" w:eastAsia="zh-CN"/>
        </w:rPr>
      </w:pPr>
      <w:r>
        <w:rPr>
          <w:rFonts w:hint="eastAsia" w:eastAsia="仿宋_GB2312"/>
          <w:sz w:val="32"/>
          <w:szCs w:val="32"/>
          <w:lang w:eastAsia="zh-CN"/>
        </w:rPr>
        <w:t>我</w:t>
      </w:r>
      <w:r>
        <w:rPr>
          <w:rFonts w:hint="eastAsia" w:ascii="Times New Roman" w:hAnsi="Times New Roman" w:eastAsia="仿宋_GB2312" w:cs="Times New Roman"/>
          <w:b w:val="0"/>
          <w:bCs w:val="0"/>
          <w:sz w:val="32"/>
          <w:szCs w:val="32"/>
          <w:lang w:val="en-US" w:eastAsia="zh-CN"/>
        </w:rPr>
        <w:t>局执法人员对该经营单位进行了全面检查，该单位积极配合调查。针对此次不合格情况，该单位已制定整改措施：一是</w:t>
      </w:r>
      <w:r>
        <w:rPr>
          <w:rFonts w:hint="eastAsia" w:eastAsia="仿宋_GB2312" w:cs="Times New Roman"/>
          <w:b w:val="0"/>
          <w:bCs w:val="0"/>
          <w:sz w:val="32"/>
          <w:szCs w:val="32"/>
          <w:lang w:val="en-US" w:eastAsia="zh-CN"/>
        </w:rPr>
        <w:t>完善</w:t>
      </w:r>
      <w:r>
        <w:rPr>
          <w:rFonts w:hint="eastAsia" w:eastAsia="仿宋_GB2312" w:cs="Times New Roman"/>
          <w:sz w:val="32"/>
          <w:szCs w:val="32"/>
          <w:lang w:val="en-US" w:eastAsia="zh-CN"/>
        </w:rPr>
        <w:t>进货查验制度，严格履行进货查验义务；二是加强员工培训，组织全体员工学习</w:t>
      </w:r>
      <w:r>
        <w:rPr>
          <w:rFonts w:hint="eastAsia" w:ascii="Times New Roman" w:hAnsi="Times New Roman" w:eastAsia="仿宋_GB2312" w:cs="Times New Roman"/>
          <w:b w:val="0"/>
          <w:bCs w:val="0"/>
          <w:sz w:val="32"/>
          <w:szCs w:val="32"/>
          <w:lang w:val="en-US" w:eastAsia="zh-CN"/>
        </w:rPr>
        <w:t>《中华人民共和国食品安全法》</w:t>
      </w:r>
      <w:r>
        <w:rPr>
          <w:rFonts w:hint="eastAsia" w:eastAsia="仿宋_GB2312" w:cs="Times New Roman"/>
          <w:b w:val="0"/>
          <w:bCs w:val="0"/>
          <w:sz w:val="32"/>
          <w:szCs w:val="32"/>
          <w:lang w:val="en-US" w:eastAsia="zh-CN"/>
        </w:rPr>
        <w:t>及相关标准，强化食品安全主体责任意识，确保各项制度落到实处。</w:t>
      </w: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atLeast"/>
        <w:ind w:firstLine="2560" w:firstLineChars="800"/>
        <w:jc w:val="both"/>
        <w:textAlignment w:val="auto"/>
        <w:outlineLvl w:val="9"/>
        <w:rPr>
          <w:rFonts w:hint="eastAsia" w:eastAsia="仿宋_GB2312"/>
          <w:sz w:val="32"/>
          <w:szCs w:val="32"/>
          <w:lang w:val="en-US" w:eastAsia="zh-CN"/>
        </w:rPr>
      </w:pPr>
      <w:r>
        <w:rPr>
          <w:rFonts w:hint="eastAsia" w:eastAsia="仿宋_GB2312"/>
          <w:sz w:val="32"/>
          <w:szCs w:val="32"/>
          <w:lang w:val="en-US" w:eastAsia="zh-CN"/>
        </w:rPr>
        <w:t>武汉东湖新技术开发区市场监督管理局</w:t>
      </w:r>
    </w:p>
    <w:p>
      <w:pPr>
        <w:keepNext w:val="0"/>
        <w:keepLines w:val="0"/>
        <w:pageBreakBefore w:val="0"/>
        <w:widowControl w:val="0"/>
        <w:kinsoku/>
        <w:wordWrap w:val="0"/>
        <w:overflowPunct/>
        <w:topLinePunct w:val="0"/>
        <w:autoSpaceDE/>
        <w:autoSpaceDN/>
        <w:bidi w:val="0"/>
        <w:adjustRightInd/>
        <w:snapToGrid/>
        <w:spacing w:line="560" w:lineRule="atLeast"/>
        <w:ind w:firstLine="4160" w:firstLineChars="1300"/>
        <w:jc w:val="both"/>
        <w:textAlignment w:val="auto"/>
        <w:outlineLvl w:val="9"/>
        <w:rPr>
          <w:rFonts w:hint="default" w:eastAsia="仿宋_GB2312"/>
          <w:sz w:val="32"/>
          <w:szCs w:val="32"/>
          <w:lang w:val="en-US" w:eastAsia="zh-CN"/>
        </w:rPr>
      </w:pPr>
      <w:r>
        <w:rPr>
          <w:rFonts w:hint="eastAsia" w:eastAsia="仿宋_GB2312"/>
          <w:sz w:val="32"/>
          <w:szCs w:val="32"/>
          <w:lang w:val="en-US" w:eastAsia="zh-CN"/>
        </w:rPr>
        <w:t>2026</w:t>
      </w:r>
      <w:r>
        <w:rPr>
          <w:rFonts w:hint="default" w:eastAsia="仿宋_GB2312"/>
          <w:sz w:val="32"/>
          <w:szCs w:val="32"/>
          <w:lang w:val="en-US" w:eastAsia="zh-CN"/>
        </w:rPr>
        <w:t>年</w:t>
      </w:r>
      <w:r>
        <w:rPr>
          <w:rFonts w:hint="eastAsia" w:eastAsia="仿宋_GB2312"/>
          <w:sz w:val="32"/>
          <w:szCs w:val="32"/>
          <w:lang w:val="en-US" w:eastAsia="zh-CN"/>
        </w:rPr>
        <w:t>4</w:t>
      </w:r>
      <w:r>
        <w:rPr>
          <w:rFonts w:hint="default" w:eastAsia="仿宋_GB2312"/>
          <w:sz w:val="32"/>
          <w:szCs w:val="32"/>
          <w:lang w:val="en-US" w:eastAsia="zh-CN"/>
        </w:rPr>
        <w:t>月</w:t>
      </w:r>
      <w:r>
        <w:rPr>
          <w:rFonts w:hint="eastAsia" w:eastAsia="仿宋_GB2312"/>
          <w:sz w:val="32"/>
          <w:szCs w:val="32"/>
          <w:lang w:val="en-US" w:eastAsia="zh-CN"/>
        </w:rPr>
        <w:t>27</w:t>
      </w:r>
      <w:r>
        <w:rPr>
          <w:rFonts w:hint="default" w:eastAsia="仿宋_GB2312"/>
          <w:sz w:val="32"/>
          <w:szCs w:val="32"/>
          <w:lang w:val="en-US" w:eastAsia="zh-CN"/>
        </w:rPr>
        <w:t>日</w:t>
      </w:r>
      <w:r>
        <w:rPr>
          <w:rFonts w:hint="eastAsia" w:eastAsia="仿宋_GB2312"/>
          <w:sz w:val="32"/>
          <w:szCs w:val="32"/>
          <w:lang w:val="en-US" w:eastAsia="zh-CN"/>
        </w:rPr>
        <w:t xml:space="preserve">     </w:t>
      </w:r>
    </w:p>
    <w:sectPr>
      <w:footerReference r:id="rId3" w:type="default"/>
      <w:footerReference r:id="rId4" w:type="even"/>
      <w:pgSz w:w="11906" w:h="16838"/>
      <w:pgMar w:top="1440" w:right="1800" w:bottom="1440" w:left="1800" w:header="851" w:footer="124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sz w:val="28"/>
        <w:szCs w:val="28"/>
      </w:rPr>
    </w:pP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CDFA7"/>
    <w:multiLevelType w:val="singleLevel"/>
    <w:tmpl w:val="637CDF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611A"/>
    <w:rsid w:val="00AD4FF7"/>
    <w:rsid w:val="00EC010F"/>
    <w:rsid w:val="012E3A44"/>
    <w:rsid w:val="01F621E6"/>
    <w:rsid w:val="022848C5"/>
    <w:rsid w:val="02D941AB"/>
    <w:rsid w:val="03195FD7"/>
    <w:rsid w:val="031A2C9A"/>
    <w:rsid w:val="032C69D5"/>
    <w:rsid w:val="037B2D94"/>
    <w:rsid w:val="03A36F29"/>
    <w:rsid w:val="03C858EE"/>
    <w:rsid w:val="03D91B06"/>
    <w:rsid w:val="043C5FE1"/>
    <w:rsid w:val="049322AC"/>
    <w:rsid w:val="0502527B"/>
    <w:rsid w:val="05BC06BC"/>
    <w:rsid w:val="05DC5F28"/>
    <w:rsid w:val="05E42A13"/>
    <w:rsid w:val="05F91121"/>
    <w:rsid w:val="06245964"/>
    <w:rsid w:val="06A42B48"/>
    <w:rsid w:val="06A7211B"/>
    <w:rsid w:val="06B27233"/>
    <w:rsid w:val="06CB31C5"/>
    <w:rsid w:val="06D363B8"/>
    <w:rsid w:val="0733359A"/>
    <w:rsid w:val="07862CB6"/>
    <w:rsid w:val="07883506"/>
    <w:rsid w:val="079414C1"/>
    <w:rsid w:val="07F20132"/>
    <w:rsid w:val="08543D87"/>
    <w:rsid w:val="08602BA8"/>
    <w:rsid w:val="08FA46E1"/>
    <w:rsid w:val="09B703F6"/>
    <w:rsid w:val="09C70100"/>
    <w:rsid w:val="09E76206"/>
    <w:rsid w:val="09F105B3"/>
    <w:rsid w:val="0A0D17E8"/>
    <w:rsid w:val="0A2819F5"/>
    <w:rsid w:val="0A622A45"/>
    <w:rsid w:val="0A910564"/>
    <w:rsid w:val="0AAD2736"/>
    <w:rsid w:val="0AFE3BC3"/>
    <w:rsid w:val="0BE00729"/>
    <w:rsid w:val="0BE63BCF"/>
    <w:rsid w:val="0C015D7D"/>
    <w:rsid w:val="0C660740"/>
    <w:rsid w:val="0CD27E67"/>
    <w:rsid w:val="0D7231BC"/>
    <w:rsid w:val="0DBB3146"/>
    <w:rsid w:val="0E3623AE"/>
    <w:rsid w:val="0E562FC0"/>
    <w:rsid w:val="0ED32B74"/>
    <w:rsid w:val="0EFE518C"/>
    <w:rsid w:val="0F812DD5"/>
    <w:rsid w:val="0F844CC6"/>
    <w:rsid w:val="0FC4221B"/>
    <w:rsid w:val="0FEA5B0F"/>
    <w:rsid w:val="0FFD229E"/>
    <w:rsid w:val="1078223F"/>
    <w:rsid w:val="10B26BF4"/>
    <w:rsid w:val="11EE54F1"/>
    <w:rsid w:val="11FA1E15"/>
    <w:rsid w:val="13802757"/>
    <w:rsid w:val="1391711A"/>
    <w:rsid w:val="13AD648F"/>
    <w:rsid w:val="141D2C86"/>
    <w:rsid w:val="1428264A"/>
    <w:rsid w:val="14385C3A"/>
    <w:rsid w:val="148215ED"/>
    <w:rsid w:val="151128EB"/>
    <w:rsid w:val="154E1950"/>
    <w:rsid w:val="158F59EA"/>
    <w:rsid w:val="15C50DAE"/>
    <w:rsid w:val="16AB2FDC"/>
    <w:rsid w:val="16B06B85"/>
    <w:rsid w:val="16DF4B4C"/>
    <w:rsid w:val="16FC07A3"/>
    <w:rsid w:val="178222B0"/>
    <w:rsid w:val="17D104A9"/>
    <w:rsid w:val="17DD6436"/>
    <w:rsid w:val="184A0D05"/>
    <w:rsid w:val="185C7C74"/>
    <w:rsid w:val="18611B2B"/>
    <w:rsid w:val="18665D95"/>
    <w:rsid w:val="188F7B75"/>
    <w:rsid w:val="18E845C5"/>
    <w:rsid w:val="19295233"/>
    <w:rsid w:val="19C176CF"/>
    <w:rsid w:val="19C66458"/>
    <w:rsid w:val="1A427F7D"/>
    <w:rsid w:val="1AC403E0"/>
    <w:rsid w:val="1AC66F8E"/>
    <w:rsid w:val="1ADC12DD"/>
    <w:rsid w:val="1B434036"/>
    <w:rsid w:val="1B4F33EC"/>
    <w:rsid w:val="1B765E75"/>
    <w:rsid w:val="1B8041FD"/>
    <w:rsid w:val="1C4B29B0"/>
    <w:rsid w:val="1C543D53"/>
    <w:rsid w:val="1DCC2190"/>
    <w:rsid w:val="1E0E3CEC"/>
    <w:rsid w:val="1E7E1981"/>
    <w:rsid w:val="1EED4392"/>
    <w:rsid w:val="1F081643"/>
    <w:rsid w:val="1FDA19FB"/>
    <w:rsid w:val="200935DC"/>
    <w:rsid w:val="206814FD"/>
    <w:rsid w:val="20C64A1E"/>
    <w:rsid w:val="20EC2133"/>
    <w:rsid w:val="21013697"/>
    <w:rsid w:val="2171516D"/>
    <w:rsid w:val="21DA70B8"/>
    <w:rsid w:val="21DF7E38"/>
    <w:rsid w:val="220F251D"/>
    <w:rsid w:val="22712A2C"/>
    <w:rsid w:val="22977D4A"/>
    <w:rsid w:val="22E938B0"/>
    <w:rsid w:val="22FD3125"/>
    <w:rsid w:val="23727CD0"/>
    <w:rsid w:val="23945A72"/>
    <w:rsid w:val="23DF1901"/>
    <w:rsid w:val="240D6649"/>
    <w:rsid w:val="241B7F15"/>
    <w:rsid w:val="24964711"/>
    <w:rsid w:val="24D859AE"/>
    <w:rsid w:val="24F37810"/>
    <w:rsid w:val="25485E80"/>
    <w:rsid w:val="259D1595"/>
    <w:rsid w:val="25B146CC"/>
    <w:rsid w:val="25DF6B72"/>
    <w:rsid w:val="263B78CF"/>
    <w:rsid w:val="2644262F"/>
    <w:rsid w:val="272B0385"/>
    <w:rsid w:val="272F5A50"/>
    <w:rsid w:val="27685E79"/>
    <w:rsid w:val="27CA0CAB"/>
    <w:rsid w:val="28BD5493"/>
    <w:rsid w:val="28E7314A"/>
    <w:rsid w:val="28E750BB"/>
    <w:rsid w:val="290273F3"/>
    <w:rsid w:val="294560D8"/>
    <w:rsid w:val="297F6074"/>
    <w:rsid w:val="29F72AE8"/>
    <w:rsid w:val="2A234382"/>
    <w:rsid w:val="2A367E8D"/>
    <w:rsid w:val="2B8F3E3B"/>
    <w:rsid w:val="2BB57F18"/>
    <w:rsid w:val="2BED54AA"/>
    <w:rsid w:val="2C01177C"/>
    <w:rsid w:val="2D9177AD"/>
    <w:rsid w:val="2D98535F"/>
    <w:rsid w:val="2DFE520B"/>
    <w:rsid w:val="2EAA3276"/>
    <w:rsid w:val="2EB96CAB"/>
    <w:rsid w:val="2EBC2C33"/>
    <w:rsid w:val="2F01285B"/>
    <w:rsid w:val="2F5614BD"/>
    <w:rsid w:val="2F64349D"/>
    <w:rsid w:val="2FC709AD"/>
    <w:rsid w:val="2FFF34B3"/>
    <w:rsid w:val="302F3EE3"/>
    <w:rsid w:val="303B14B7"/>
    <w:rsid w:val="309E0133"/>
    <w:rsid w:val="310E3C3E"/>
    <w:rsid w:val="312F1C8F"/>
    <w:rsid w:val="31410ADB"/>
    <w:rsid w:val="31AE616A"/>
    <w:rsid w:val="320A5E9F"/>
    <w:rsid w:val="322C0E36"/>
    <w:rsid w:val="322E174B"/>
    <w:rsid w:val="32FB7FC6"/>
    <w:rsid w:val="3346508F"/>
    <w:rsid w:val="33831552"/>
    <w:rsid w:val="33875743"/>
    <w:rsid w:val="33A743DF"/>
    <w:rsid w:val="33C13BA1"/>
    <w:rsid w:val="344B49FF"/>
    <w:rsid w:val="344C157A"/>
    <w:rsid w:val="34B3770A"/>
    <w:rsid w:val="34FF4367"/>
    <w:rsid w:val="350A0A2B"/>
    <w:rsid w:val="35454ACD"/>
    <w:rsid w:val="35E37025"/>
    <w:rsid w:val="35EA1101"/>
    <w:rsid w:val="35EB0756"/>
    <w:rsid w:val="369C0825"/>
    <w:rsid w:val="369E377C"/>
    <w:rsid w:val="36AB3843"/>
    <w:rsid w:val="36F16073"/>
    <w:rsid w:val="373527DC"/>
    <w:rsid w:val="37A40015"/>
    <w:rsid w:val="38181E92"/>
    <w:rsid w:val="385D0C07"/>
    <w:rsid w:val="38645639"/>
    <w:rsid w:val="38CC5375"/>
    <w:rsid w:val="3A1B20DA"/>
    <w:rsid w:val="3A200389"/>
    <w:rsid w:val="3A6C0903"/>
    <w:rsid w:val="3AD51DDA"/>
    <w:rsid w:val="3AF60AFB"/>
    <w:rsid w:val="3AFA5077"/>
    <w:rsid w:val="3B7031B2"/>
    <w:rsid w:val="3B770B56"/>
    <w:rsid w:val="3BC1660B"/>
    <w:rsid w:val="3D005A45"/>
    <w:rsid w:val="3D4E4434"/>
    <w:rsid w:val="3D5C0252"/>
    <w:rsid w:val="3DD75AE4"/>
    <w:rsid w:val="3DDD6F79"/>
    <w:rsid w:val="3DE752B1"/>
    <w:rsid w:val="3E5962C4"/>
    <w:rsid w:val="3E757063"/>
    <w:rsid w:val="3EA969AB"/>
    <w:rsid w:val="3EC01725"/>
    <w:rsid w:val="3F0A0E39"/>
    <w:rsid w:val="3F0F1D3C"/>
    <w:rsid w:val="3F307160"/>
    <w:rsid w:val="4031098C"/>
    <w:rsid w:val="40704606"/>
    <w:rsid w:val="40821F36"/>
    <w:rsid w:val="40976185"/>
    <w:rsid w:val="412E4291"/>
    <w:rsid w:val="41366633"/>
    <w:rsid w:val="41D5249F"/>
    <w:rsid w:val="4255407F"/>
    <w:rsid w:val="425E7D06"/>
    <w:rsid w:val="42D9657C"/>
    <w:rsid w:val="43556616"/>
    <w:rsid w:val="43715E3A"/>
    <w:rsid w:val="43747872"/>
    <w:rsid w:val="43A268DE"/>
    <w:rsid w:val="43B81F37"/>
    <w:rsid w:val="43BB469E"/>
    <w:rsid w:val="43E81139"/>
    <w:rsid w:val="43FD30EB"/>
    <w:rsid w:val="4432385F"/>
    <w:rsid w:val="443959B8"/>
    <w:rsid w:val="446A4392"/>
    <w:rsid w:val="44994BFE"/>
    <w:rsid w:val="449F59C6"/>
    <w:rsid w:val="450822D5"/>
    <w:rsid w:val="452C1738"/>
    <w:rsid w:val="459D3BAC"/>
    <w:rsid w:val="45B15B6F"/>
    <w:rsid w:val="45C70991"/>
    <w:rsid w:val="46063600"/>
    <w:rsid w:val="46FE04A5"/>
    <w:rsid w:val="47E23EBB"/>
    <w:rsid w:val="48135CAB"/>
    <w:rsid w:val="484375F2"/>
    <w:rsid w:val="4932086F"/>
    <w:rsid w:val="496804C3"/>
    <w:rsid w:val="49B33B65"/>
    <w:rsid w:val="49BE5F57"/>
    <w:rsid w:val="49D55CCC"/>
    <w:rsid w:val="4A092CEE"/>
    <w:rsid w:val="4A0F4C6E"/>
    <w:rsid w:val="4B171876"/>
    <w:rsid w:val="4B2D3BB3"/>
    <w:rsid w:val="4B7F2071"/>
    <w:rsid w:val="4B9F45FB"/>
    <w:rsid w:val="4BB03681"/>
    <w:rsid w:val="4C0A2CAF"/>
    <w:rsid w:val="4CAD3BFC"/>
    <w:rsid w:val="4CF36C10"/>
    <w:rsid w:val="4D3F3966"/>
    <w:rsid w:val="4D714B56"/>
    <w:rsid w:val="4DB869DC"/>
    <w:rsid w:val="4E8A3567"/>
    <w:rsid w:val="4EBB20E8"/>
    <w:rsid w:val="4ED6150F"/>
    <w:rsid w:val="4EF87A84"/>
    <w:rsid w:val="4F0C246E"/>
    <w:rsid w:val="4F27768C"/>
    <w:rsid w:val="4F320217"/>
    <w:rsid w:val="4F5B2592"/>
    <w:rsid w:val="4FCA59F0"/>
    <w:rsid w:val="4FFF425F"/>
    <w:rsid w:val="501A2DA6"/>
    <w:rsid w:val="50206532"/>
    <w:rsid w:val="50D52FBA"/>
    <w:rsid w:val="50E922F5"/>
    <w:rsid w:val="512C3BED"/>
    <w:rsid w:val="51535D1B"/>
    <w:rsid w:val="51C16031"/>
    <w:rsid w:val="51C163D9"/>
    <w:rsid w:val="527049F9"/>
    <w:rsid w:val="52A54EA1"/>
    <w:rsid w:val="536C718F"/>
    <w:rsid w:val="53751EBA"/>
    <w:rsid w:val="54182D6F"/>
    <w:rsid w:val="543B65E6"/>
    <w:rsid w:val="544C19ED"/>
    <w:rsid w:val="544D66DA"/>
    <w:rsid w:val="54987538"/>
    <w:rsid w:val="54CA7311"/>
    <w:rsid w:val="55F4617B"/>
    <w:rsid w:val="56C22E2C"/>
    <w:rsid w:val="56FB56AD"/>
    <w:rsid w:val="574D59F3"/>
    <w:rsid w:val="57BF307B"/>
    <w:rsid w:val="591B75F7"/>
    <w:rsid w:val="5945486B"/>
    <w:rsid w:val="59802FCB"/>
    <w:rsid w:val="5A087442"/>
    <w:rsid w:val="5A701228"/>
    <w:rsid w:val="5A736A40"/>
    <w:rsid w:val="5A946F21"/>
    <w:rsid w:val="5A9D7A40"/>
    <w:rsid w:val="5B156D38"/>
    <w:rsid w:val="5B282F95"/>
    <w:rsid w:val="5B702303"/>
    <w:rsid w:val="5B7511E7"/>
    <w:rsid w:val="5BE85778"/>
    <w:rsid w:val="5C400AAD"/>
    <w:rsid w:val="5CED2007"/>
    <w:rsid w:val="5D082CDF"/>
    <w:rsid w:val="5DAC617B"/>
    <w:rsid w:val="5DB73809"/>
    <w:rsid w:val="5DE13FDD"/>
    <w:rsid w:val="5DE867AE"/>
    <w:rsid w:val="5E0C1D7C"/>
    <w:rsid w:val="5E681116"/>
    <w:rsid w:val="5EB531EE"/>
    <w:rsid w:val="5ED86461"/>
    <w:rsid w:val="5EFE71D2"/>
    <w:rsid w:val="5F0F0FBD"/>
    <w:rsid w:val="5F5376C2"/>
    <w:rsid w:val="5F5E2CAF"/>
    <w:rsid w:val="5F726AFE"/>
    <w:rsid w:val="5FC9335B"/>
    <w:rsid w:val="5FDE5B8E"/>
    <w:rsid w:val="5FE2657B"/>
    <w:rsid w:val="601F638E"/>
    <w:rsid w:val="60B078BF"/>
    <w:rsid w:val="60E2206D"/>
    <w:rsid w:val="610D1C2D"/>
    <w:rsid w:val="613A2E11"/>
    <w:rsid w:val="61AF38AA"/>
    <w:rsid w:val="61EB6FE8"/>
    <w:rsid w:val="621A2951"/>
    <w:rsid w:val="62210286"/>
    <w:rsid w:val="627F35C8"/>
    <w:rsid w:val="62A941BD"/>
    <w:rsid w:val="62A97E1E"/>
    <w:rsid w:val="62FD704B"/>
    <w:rsid w:val="63B77699"/>
    <w:rsid w:val="63B84723"/>
    <w:rsid w:val="63F2579A"/>
    <w:rsid w:val="649A72EB"/>
    <w:rsid w:val="64BA1A0D"/>
    <w:rsid w:val="657764EA"/>
    <w:rsid w:val="65A65B15"/>
    <w:rsid w:val="65C46D71"/>
    <w:rsid w:val="65D74FB3"/>
    <w:rsid w:val="65F50571"/>
    <w:rsid w:val="66050144"/>
    <w:rsid w:val="661831AB"/>
    <w:rsid w:val="66483949"/>
    <w:rsid w:val="664A660B"/>
    <w:rsid w:val="668D6B97"/>
    <w:rsid w:val="66EC4AB9"/>
    <w:rsid w:val="672E6FB2"/>
    <w:rsid w:val="679276B1"/>
    <w:rsid w:val="67FE6C38"/>
    <w:rsid w:val="68472ABA"/>
    <w:rsid w:val="68BF2D88"/>
    <w:rsid w:val="69133681"/>
    <w:rsid w:val="692348B6"/>
    <w:rsid w:val="69B81DD1"/>
    <w:rsid w:val="69CB2E9E"/>
    <w:rsid w:val="69E043F6"/>
    <w:rsid w:val="6A6B401A"/>
    <w:rsid w:val="6A710E26"/>
    <w:rsid w:val="6A946F2E"/>
    <w:rsid w:val="6AA063F4"/>
    <w:rsid w:val="6AED2300"/>
    <w:rsid w:val="6B2E6296"/>
    <w:rsid w:val="6B425AF6"/>
    <w:rsid w:val="6B5253E6"/>
    <w:rsid w:val="6B78426C"/>
    <w:rsid w:val="6BB00A49"/>
    <w:rsid w:val="6C2975FB"/>
    <w:rsid w:val="6C4E1DC6"/>
    <w:rsid w:val="6C8115A7"/>
    <w:rsid w:val="6CA45E51"/>
    <w:rsid w:val="6CE23C89"/>
    <w:rsid w:val="6CFD7B2E"/>
    <w:rsid w:val="6D5676EC"/>
    <w:rsid w:val="6E4D4A90"/>
    <w:rsid w:val="6E7A6BEA"/>
    <w:rsid w:val="6EB14834"/>
    <w:rsid w:val="6F583F5A"/>
    <w:rsid w:val="6F6E4672"/>
    <w:rsid w:val="6F7B7803"/>
    <w:rsid w:val="700E3121"/>
    <w:rsid w:val="70F42CBC"/>
    <w:rsid w:val="7184039E"/>
    <w:rsid w:val="71E421CB"/>
    <w:rsid w:val="72351068"/>
    <w:rsid w:val="726807DE"/>
    <w:rsid w:val="726D5F54"/>
    <w:rsid w:val="72803949"/>
    <w:rsid w:val="73C53520"/>
    <w:rsid w:val="73EB0E3A"/>
    <w:rsid w:val="745831D2"/>
    <w:rsid w:val="747A53D7"/>
    <w:rsid w:val="74944BF7"/>
    <w:rsid w:val="751355EF"/>
    <w:rsid w:val="75892F76"/>
    <w:rsid w:val="759954FE"/>
    <w:rsid w:val="75AD6A4E"/>
    <w:rsid w:val="75FC2282"/>
    <w:rsid w:val="7646766A"/>
    <w:rsid w:val="76BB7341"/>
    <w:rsid w:val="76C70360"/>
    <w:rsid w:val="772C3F02"/>
    <w:rsid w:val="77303BDE"/>
    <w:rsid w:val="77502C87"/>
    <w:rsid w:val="775B2DBD"/>
    <w:rsid w:val="77B3133E"/>
    <w:rsid w:val="78212FBB"/>
    <w:rsid w:val="785D5F68"/>
    <w:rsid w:val="78953164"/>
    <w:rsid w:val="78E148C6"/>
    <w:rsid w:val="78F410AA"/>
    <w:rsid w:val="7905538F"/>
    <w:rsid w:val="793F6AEA"/>
    <w:rsid w:val="797C2F4C"/>
    <w:rsid w:val="798833E0"/>
    <w:rsid w:val="79BF118C"/>
    <w:rsid w:val="79E5652D"/>
    <w:rsid w:val="7A0803AC"/>
    <w:rsid w:val="7B5D411E"/>
    <w:rsid w:val="7BE744BE"/>
    <w:rsid w:val="7BE8031C"/>
    <w:rsid w:val="7D111FAE"/>
    <w:rsid w:val="7D186EC0"/>
    <w:rsid w:val="7D817463"/>
    <w:rsid w:val="7DC71A4D"/>
    <w:rsid w:val="7DE7687B"/>
    <w:rsid w:val="7E1E409F"/>
    <w:rsid w:val="7F147FF6"/>
    <w:rsid w:val="7F2D320B"/>
    <w:rsid w:val="7F5062A2"/>
    <w:rsid w:val="7F677D87"/>
    <w:rsid w:val="7F9474B0"/>
    <w:rsid w:val="7F975CA2"/>
    <w:rsid w:val="7FA73631"/>
    <w:rsid w:val="7FCF7E97"/>
    <w:rsid w:val="7FF41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Body Text Indent"/>
    <w:basedOn w:val="1"/>
    <w:qFormat/>
    <w:uiPriority w:val="0"/>
    <w:pPr>
      <w:ind w:left="6" w:hanging="2"/>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特发</cp:lastModifiedBy>
  <cp:lastPrinted>2025-06-09T03:37:00Z</cp:lastPrinted>
  <dcterms:modified xsi:type="dcterms:W3CDTF">2026-04-27T01:39:46Z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